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cs="黑体" w:asciiTheme="minorEastAsia" w:hAnsiTheme="minorEastAsia"/>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人由股东</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hint="eastAsia"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w:t>
      </w:r>
      <w:r>
        <w:rPr>
          <w:rFonts w:hint="eastAsia" w:cs="Times New Roman" w:asciiTheme="minorEastAsia" w:hAnsiTheme="minorEastAsia"/>
          <w:color w:val="FF0000"/>
          <w:spacing w:val="-2"/>
          <w:kern w:val="0"/>
          <w:sz w:val="32"/>
        </w:rPr>
        <w:t>经理</w:t>
      </w:r>
      <w:r>
        <w:rPr>
          <w:rFonts w:hint="eastAsia" w:asciiTheme="minorEastAsia" w:hAnsiTheme="minorEastAsia"/>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董事会对本章程第</w:t>
      </w:r>
      <w:r>
        <w:rPr>
          <w:rFonts w:hint="eastAsia" w:cs="Times New Roman" w:asciiTheme="minorEastAsia" w:hAnsiTheme="minorEastAsia"/>
          <w:color w:val="FF0000"/>
          <w:spacing w:val="-2"/>
          <w:kern w:val="0"/>
          <w:sz w:val="32"/>
        </w:rPr>
        <w:t>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144F4"/>
    <w:rsid w:val="002A0CFE"/>
    <w:rsid w:val="006175AF"/>
    <w:rsid w:val="006D0955"/>
    <w:rsid w:val="007A5AC8"/>
    <w:rsid w:val="00DB0331"/>
    <w:rsid w:val="00E23338"/>
    <w:rsid w:val="03C82ABD"/>
    <w:rsid w:val="0DE060B4"/>
    <w:rsid w:val="0EBA6009"/>
    <w:rsid w:val="2ADD3FA1"/>
    <w:rsid w:val="2AF575A8"/>
    <w:rsid w:val="2B9129F3"/>
    <w:rsid w:val="2E210DA6"/>
    <w:rsid w:val="30412871"/>
    <w:rsid w:val="40111064"/>
    <w:rsid w:val="40DF5D04"/>
    <w:rsid w:val="41DD33F2"/>
    <w:rsid w:val="49EC5512"/>
    <w:rsid w:val="4BE9395F"/>
    <w:rsid w:val="4E063619"/>
    <w:rsid w:val="4FBA7D6C"/>
    <w:rsid w:val="569F16D8"/>
    <w:rsid w:val="56D56C11"/>
    <w:rsid w:val="628B2A89"/>
    <w:rsid w:val="6FC164D0"/>
    <w:rsid w:val="764E1516"/>
    <w:rsid w:val="78401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1210</Words>
  <Characters>6898</Characters>
  <Lines>57</Lines>
  <Paragraphs>16</Paragraphs>
  <TotalTime>2</TotalTime>
  <ScaleCrop>false</ScaleCrop>
  <LinksUpToDate>false</LinksUpToDate>
  <CharactersWithSpaces>8092</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2024-07-14T17:00:35Z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39D605D380FB4D61B4D75963B2A7E5A5</vt:lpwstr>
  </property>
</Properties>
</file>