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ED0000"/>
          <w:kern w:val="0"/>
          <w:sz w:val="36"/>
          <w:szCs w:val="36"/>
        </w:rPr>
      </w:pP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黑体" w:hAnsi="黑体" w:eastAsia="黑体" w:cs="Times New Roman"/>
          <w:b/>
          <w:kern w:val="0"/>
          <w:sz w:val="32"/>
        </w:rPr>
      </w:pPr>
      <w:r>
        <w:rPr>
          <w:rFonts w:hint="eastAsia" w:ascii="黑体" w:hAnsi="黑体" w:eastAsia="黑体" w:cs="Times New Roman"/>
          <w:b/>
          <w:kern w:val="0"/>
          <w:sz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w:t>
      </w:r>
      <w:r>
        <w:rPr>
          <w:rFonts w:hint="eastAsia" w:ascii="黑体" w:hAnsi="黑体" w:eastAsia="黑体" w:cs="Times New Roman"/>
          <w:b/>
          <w:kern w:val="0"/>
          <w:sz w:val="32"/>
        </w:rPr>
        <w:t>、</w:t>
      </w:r>
      <w:r>
        <w:rPr>
          <w:rFonts w:ascii="黑体" w:hAnsi="黑体" w:eastAsia="黑体" w:cs="Times New Roman"/>
          <w:b/>
          <w:kern w:val="0"/>
          <w:sz w:val="32"/>
        </w:rPr>
        <w:t>住所</w:t>
      </w:r>
      <w:r>
        <w:rPr>
          <w:rFonts w:hint="eastAsia" w:ascii="黑体" w:hAnsi="黑体" w:eastAsia="黑体" w:cs="Times New Roman"/>
          <w:b/>
          <w:kern w:val="0"/>
          <w:sz w:val="32"/>
        </w:rPr>
        <w:t>、</w:t>
      </w:r>
      <w:r>
        <w:rPr>
          <w:rFonts w:ascii="黑体" w:hAnsi="黑体" w:eastAsia="黑体" w:cs="Times New Roman"/>
          <w:b/>
          <w:kern w:val="0"/>
          <w:sz w:val="32"/>
        </w:rPr>
        <w:t>经营范围</w:t>
      </w:r>
      <w:r>
        <w:rPr>
          <w:rFonts w:hint="eastAsia" w:ascii="黑体" w:hAnsi="黑体" w:eastAsia="黑体" w:cs="Times New Roman"/>
          <w:b/>
          <w:kern w:val="0"/>
          <w:sz w:val="32"/>
        </w:rPr>
        <w:t>、</w:t>
      </w:r>
      <w:r>
        <w:rPr>
          <w:rFonts w:ascii="黑体" w:hAnsi="黑体" w:eastAsia="黑体" w:cs="Times New Roman"/>
          <w:b/>
          <w:kern w:val="0"/>
          <w:sz w:val="32"/>
        </w:rPr>
        <w:t>营业期限及注册资本</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公司</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left="624"/>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widowControl/>
        <w:ind w:firstLine="634" w:firstLineChars="200"/>
        <w:jc w:val="left"/>
        <w:rPr>
          <w:color w:val="ED0000"/>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ED0000"/>
          <w:spacing w:val="-2"/>
          <w:kern w:val="0"/>
          <w:sz w:val="32"/>
          <w:u w:val="single"/>
        </w:rPr>
        <w:t xml:space="preserve">         </w:t>
      </w:r>
      <w:bookmarkStart w:id="0" w:name="_GoBack"/>
      <w:bookmarkEnd w:id="0"/>
      <w:r>
        <w:rPr>
          <w:rFonts w:hint="eastAsia" w:ascii="宋体" w:hAnsi="宋体" w:eastAsia="宋体" w:cs="宋体"/>
          <w:color w:val="ED0000"/>
          <w:kern w:val="0"/>
          <w:sz w:val="32"/>
          <w:szCs w:val="32"/>
          <w:lang w:bidi="ar"/>
        </w:rPr>
        <w:t xml:space="preserve">公司， </w:t>
      </w:r>
    </w:p>
    <w:p>
      <w:pPr>
        <w:widowControl/>
        <w:ind w:firstLine="640" w:firstLineChars="200"/>
        <w:jc w:val="left"/>
        <w:rPr>
          <w:color w:val="ED0000"/>
        </w:rPr>
      </w:pPr>
      <w:r>
        <w:rPr>
          <w:rFonts w:hint="eastAsia" w:ascii="宋体" w:hAnsi="宋体" w:eastAsia="宋体" w:cs="宋体"/>
          <w:color w:val="ED0000"/>
          <w:kern w:val="0"/>
          <w:sz w:val="32"/>
          <w:szCs w:val="32"/>
          <w:lang w:bidi="ar"/>
        </w:rPr>
        <w:t xml:space="preserve">证件名称：营业执照，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或：</w:t>
      </w:r>
    </w:p>
    <w:p>
      <w:pPr>
        <w:widowControl/>
        <w:ind w:firstLine="640" w:firstLineChars="200"/>
        <w:jc w:val="left"/>
        <w:rPr>
          <w:color w:val="ED0000"/>
        </w:rPr>
      </w:pPr>
      <w:r>
        <w:rPr>
          <w:rFonts w:hint="eastAsia" w:ascii="宋体" w:hAnsi="宋体" w:eastAsia="宋体" w:cs="宋体"/>
          <w:color w:val="ED0000"/>
          <w:kern w:val="0"/>
          <w:sz w:val="32"/>
          <w:szCs w:val="32"/>
          <w:lang w:bidi="ar"/>
        </w:rPr>
        <w:t>公司股东姓名：</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证件名称：</w:t>
      </w:r>
      <w:r>
        <w:rPr>
          <w:rFonts w:ascii="宋体" w:hAnsi="宋体" w:eastAsia="宋体" w:cs="Times New Roman"/>
          <w:color w:val="ED0000"/>
          <w:spacing w:val="-2"/>
          <w:kern w:val="0"/>
          <w:sz w:val="32"/>
        </w:rPr>
        <w:t>居民身份证</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ascii="宋体" w:hAnsi="宋体" w:eastAsia="宋体" w:cs="Times New Roman"/>
          <w:color w:val="FF0000"/>
          <w:spacing w:val="-2"/>
          <w:kern w:val="0"/>
          <w:sz w:val="32"/>
          <w:u w:val="single"/>
        </w:rPr>
        <w:t>/</w:t>
      </w:r>
      <w:r>
        <w:rPr>
          <w:rFonts w:hint="eastAsia" w:ascii="宋体" w:hAnsi="宋体" w:cs="Times New Roman"/>
          <w:color w:val="FF0000"/>
          <w:spacing w:val="-2"/>
          <w:kern w:val="0"/>
          <w:sz w:val="32"/>
          <w:u w:val="single"/>
        </w:rPr>
        <w:t>变更</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第十八条</w:t>
      </w:r>
      <w:r>
        <w:rPr>
          <w:rFonts w:ascii="宋体" w:hAnsi="宋体" w:eastAsia="宋体" w:cs="Times New Roman"/>
          <w:spacing w:val="-2"/>
          <w:kern w:val="0"/>
          <w:sz w:val="32"/>
        </w:rPr>
        <w:t xml:space="preserve"> 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违反前款规定的，股东应当返还抽逃的出资；给公司造成损失的，负有责任的董事、高级管理人员应当与股东承担连带赔偿责任。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股东可以转让其全部或者部分股权。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和更换董事，决定有关董事的报酬事项；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ED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ED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十</w:t>
      </w:r>
      <w:r>
        <w:rPr>
          <w:rFonts w:ascii="宋体" w:hAnsi="宋体" w:eastAsia="宋体" w:cs="Times New Roman"/>
          <w:spacing w:val="-2"/>
          <w:kern w:val="0"/>
          <w:sz w:val="32"/>
        </w:rPr>
        <w:t>）公司章程规定或者股东授予的其他职权。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color w:val="ED0000"/>
          <w:spacing w:val="-2"/>
          <w:kern w:val="0"/>
          <w:sz w:val="32"/>
        </w:rPr>
        <w:t>公司</w:t>
      </w:r>
      <w:r>
        <w:rPr>
          <w:rFonts w:hint="eastAsia" w:ascii="宋体" w:hAnsi="宋体" w:eastAsia="宋体" w:cs="Times New Roman"/>
          <w:color w:val="ED0000"/>
          <w:spacing w:val="-2"/>
          <w:kern w:val="0"/>
          <w:sz w:val="32"/>
        </w:rPr>
        <w:t>不</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color w:val="ED0000"/>
          <w:spacing w:val="-2"/>
          <w:kern w:val="0"/>
          <w:sz w:val="32"/>
        </w:rPr>
        <w:t>公司</w:t>
      </w:r>
      <w:r>
        <w:rPr>
          <w:rFonts w:hint="eastAsia" w:ascii="宋体" w:hAnsi="宋体" w:eastAsia="宋体" w:cs="Times New Roman"/>
          <w:color w:val="ED0000"/>
          <w:spacing w:val="-2"/>
          <w:kern w:val="0"/>
          <w:sz w:val="32"/>
        </w:rPr>
        <w:t>不</w:t>
      </w:r>
      <w:r>
        <w:rPr>
          <w:rFonts w:ascii="宋体" w:hAnsi="宋体" w:eastAsia="宋体" w:cs="Times New Roman"/>
          <w:color w:val="ED0000"/>
          <w:spacing w:val="-2"/>
          <w:kern w:val="0"/>
          <w:sz w:val="32"/>
        </w:rPr>
        <w:t>设监事</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有下列情形之一的，不得担任公司的董事、高级管理人员：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董事、高级管理人员在任职期间出现本条第一款所列情形的，公司应当解除其职务。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三十九</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第四十一条</w:t>
      </w:r>
      <w:r>
        <w:rPr>
          <w:rFonts w:hint="eastAsia" w:ascii="Microsoft JhengHei" w:hAnsi="Microsoft JhengHei" w:eastAsia="Microsoft JhengHei" w:cs="Times New Roman"/>
          <w:b/>
          <w:kern w:val="0"/>
          <w:sz w:val="32"/>
        </w:rPr>
        <w:t xml:space="preserve"> </w:t>
      </w:r>
      <w:r>
        <w:rPr>
          <w:rFonts w:hint="eastAsia" w:ascii="宋体" w:hAnsi="宋体" w:eastAsia="宋体" w:cs="Times New Roman"/>
          <w:spacing w:val="-2"/>
          <w:kern w:val="0"/>
          <w:sz w:val="32"/>
        </w:rPr>
        <w:t>董事、高级管理人员，不得利用职务便利为自己或者他人谋取属于公司的商业机会。但是，有下列情形之一的除外：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第四十二条</w:t>
      </w:r>
      <w:r>
        <w:rPr>
          <w:rFonts w:hint="eastAsia" w:ascii="Microsoft JhengHei" w:hAnsi="Microsoft JhengHei" w:eastAsia="Microsoft JhengHei" w:cs="Times New Roman"/>
          <w:b/>
          <w:kern w:val="0"/>
          <w:sz w:val="32"/>
        </w:rPr>
        <w:t>　</w:t>
      </w:r>
      <w:r>
        <w:rPr>
          <w:rFonts w:hint="eastAsia" w:ascii="宋体" w:hAnsi="宋体" w:eastAsia="宋体" w:cs="Times New Roman"/>
          <w:spacing w:val="-2"/>
          <w:kern w:val="0"/>
          <w:sz w:val="32"/>
        </w:rPr>
        <w:t>董事、高级管理人员未向董事或者股东报告，并经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决定通过，不得自营或者为他人经营与其任职公司同类的业务。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第四十三条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董事、高级管理人员违反《公司法》第一百八十一条至第一百八十四条规定所得的收入应当归公司所有。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第四十七条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第四十八条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lang w:eastAsia="zh-CN"/>
        </w:rPr>
        <w:t>决定</w:t>
      </w:r>
      <w:r>
        <w:rPr>
          <w:rFonts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五十一</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五十二</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五十七</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五十八</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股东、董事、高级管理人员应当把联系方式（包括通信地址、电话、电子邮箱等）报公司置备，发生变动的，应及时报公司予以更新。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本章程于</w:t>
      </w:r>
      <w:r>
        <w:rPr>
          <w:rFonts w:ascii="宋体" w:hAnsi="宋体" w:eastAsia="宋体" w:cs="Times New Roman"/>
          <w:color w:val="ED0000"/>
          <w:spacing w:val="-2"/>
          <w:kern w:val="0"/>
          <w:sz w:val="32"/>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97A37"/>
    <w:rsid w:val="000F6065"/>
    <w:rsid w:val="001E18C0"/>
    <w:rsid w:val="00240A4F"/>
    <w:rsid w:val="002F7D0A"/>
    <w:rsid w:val="00540F8B"/>
    <w:rsid w:val="005B038D"/>
    <w:rsid w:val="006634E8"/>
    <w:rsid w:val="00727848"/>
    <w:rsid w:val="00856116"/>
    <w:rsid w:val="0090099A"/>
    <w:rsid w:val="00944512"/>
    <w:rsid w:val="00A068AD"/>
    <w:rsid w:val="00A0777B"/>
    <w:rsid w:val="00DA7234"/>
    <w:rsid w:val="00DF533F"/>
    <w:rsid w:val="02A0252E"/>
    <w:rsid w:val="0EBA6009"/>
    <w:rsid w:val="13C82EBE"/>
    <w:rsid w:val="27740341"/>
    <w:rsid w:val="2E210DA6"/>
    <w:rsid w:val="30412871"/>
    <w:rsid w:val="31CD25F0"/>
    <w:rsid w:val="3D6637FD"/>
    <w:rsid w:val="451B7CDE"/>
    <w:rsid w:val="45750D0A"/>
    <w:rsid w:val="45AB3805"/>
    <w:rsid w:val="488C6CB4"/>
    <w:rsid w:val="51906DE2"/>
    <w:rsid w:val="52063744"/>
    <w:rsid w:val="56D56C11"/>
    <w:rsid w:val="616E24C9"/>
    <w:rsid w:val="628B2A89"/>
    <w:rsid w:val="64605D35"/>
    <w:rsid w:val="6CA37D42"/>
    <w:rsid w:val="6CB0032D"/>
    <w:rsid w:val="74CE519C"/>
    <w:rsid w:val="AFEF1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1099</Words>
  <Characters>6268</Characters>
  <Lines>52</Lines>
  <Paragraphs>14</Paragraphs>
  <TotalTime>0</TotalTime>
  <ScaleCrop>false</ScaleCrop>
  <LinksUpToDate>false</LinksUpToDate>
  <CharactersWithSpaces>7353</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2024-07-28T09:08:37Z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C4354E2F9A9B462E85DC44D0411B14F1_11</vt:lpwstr>
  </property>
</Properties>
</file>